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</w:pPr>
      <w:bookmarkStart w:id="0" w:name="bookmark19"/>
      <w:bookmarkStart w:id="1" w:name="bookmark17"/>
      <w:bookmarkStart w:id="2" w:name="bookmark18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eastAsia="zh-CN"/>
        </w:rPr>
        <w:t>浙江省首届保安高峰论坛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论文参考题目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1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2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、新时代加强保安企业党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建引领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途径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1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2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浙江经济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30年与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保安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融合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发展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1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bookmarkStart w:id="5" w:name="bookmark22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现代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保安服务业的优化升级与高质量发展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、从“建设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窗口”论保安监管体制的方式和创新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五、激发保安服务践行新时代“枫桥经验”的活力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六、以警保联动新模式助推保安服务新格局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1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、保安服务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公司等级评定的应用及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态势研究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1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6" w:name="bookmark2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、互联网、大数据、人工智能与保安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的融合与运用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、新时代保安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社会治安防控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体系建设中的定位与功能</w:t>
      </w:r>
    </w:p>
    <w:bookmarkEnd w:id="6"/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1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保安企业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对“一带一路”海外安保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的实践探索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2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十一、国际标准、全球竞争力与保安企业国际化</w:t>
      </w:r>
    </w:p>
    <w:bookmarkEnd w:id="7"/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50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、新时代保安从业人员队伍建设研究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50"/>
        </w:tabs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、保安员职业技能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等级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应用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与保安职业培训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建设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发挥安保职能作用维护校园安全稳定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640" w:leftChars="200" w:right="0" w:firstLine="9" w:firstLineChars="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、互联网金融的发展趋势对武装守押服务的影响与应对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、保安企业完善现代企业制度建设的途径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十七、后疫情时期保安服务工作的思考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十八、新形势下保安服务行业标准化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发展探析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十九、保安服务融入智安社区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推进社区治理现代化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、保安行业协会功能的完善与在维护保安企业与保安人 员合法权益中的作用与途径</w:t>
      </w:r>
    </w:p>
    <w:p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3634105</wp:posOffset>
              </wp:positionH>
              <wp:positionV relativeFrom="page">
                <wp:posOffset>9486900</wp:posOffset>
              </wp:positionV>
              <wp:extent cx="434340" cy="1187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15pt;margin-top:747pt;height:9.35pt;width:34.2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+kv+tkAAAANAQAADwAAAAAAAAABACAAAAAiAAAAZHJzL2Rvd25yZXYueG1sUEsBAhQAFAAAAAgA&#10;h07iQEfXcdyyAQAASw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05CFE"/>
    <w:rsid w:val="6BFA6BD0"/>
    <w:rsid w:val="6C20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2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hint="eastAsia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20" w:line="252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2020-05-11T08:13:00Z</dcterms:created>
  <dc:creator>lenovo</dc:creator>
  <cp:lastModifiedBy>lenovo</cp:lastModifiedBy>
  <cp:lastPrinted>2020-05-12T00:50:25Z</cp:lastPrinted>
  <dcterms:modified xsi:type="dcterms:W3CDTF">2020-05-12T00:52:05Z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