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40" w:type="dxa"/>
        <w:tblInd w:w="191" w:type="dxa"/>
        <w:shd w:val="clear" w:color="auto" w:fill="auto"/>
        <w:tblLayout w:type="fixed"/>
        <w:tblCellMar>
          <w:top w:w="0" w:type="dxa"/>
          <w:left w:w="0" w:type="dxa"/>
          <w:bottom w:w="0" w:type="dxa"/>
          <w:right w:w="0" w:type="dxa"/>
        </w:tblCellMar>
      </w:tblPr>
      <w:tblGrid>
        <w:gridCol w:w="2778"/>
        <w:gridCol w:w="942"/>
        <w:gridCol w:w="1395"/>
        <w:gridCol w:w="1335"/>
        <w:gridCol w:w="1320"/>
        <w:gridCol w:w="1346"/>
        <w:gridCol w:w="724"/>
      </w:tblGrid>
      <w:tr>
        <w:tblPrEx>
          <w:shd w:val="clear" w:color="auto" w:fill="auto"/>
          <w:tblCellMar>
            <w:top w:w="0" w:type="dxa"/>
            <w:left w:w="0" w:type="dxa"/>
            <w:bottom w:w="0" w:type="dxa"/>
            <w:right w:w="0" w:type="dxa"/>
          </w:tblCellMar>
        </w:tblPrEx>
        <w:trPr>
          <w:trHeight w:val="654" w:hRule="atLeast"/>
        </w:trPr>
        <w:tc>
          <w:tcPr>
            <w:tcW w:w="98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2020年度杭州市保安服务人力防范最低成本测算价</w:t>
            </w:r>
          </w:p>
        </w:tc>
      </w:tr>
      <w:tr>
        <w:tblPrEx>
          <w:tblCellMar>
            <w:top w:w="0" w:type="dxa"/>
            <w:left w:w="0" w:type="dxa"/>
            <w:bottom w:w="0" w:type="dxa"/>
            <w:right w:w="0" w:type="dxa"/>
          </w:tblCellMar>
        </w:tblPrEx>
        <w:trPr>
          <w:trHeight w:val="510" w:hRule="atLeast"/>
        </w:trPr>
        <w:tc>
          <w:tcPr>
            <w:tcW w:w="277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编制单位：杭州市保安协会</w:t>
            </w:r>
          </w:p>
        </w:tc>
        <w:tc>
          <w:tcPr>
            <w:tcW w:w="9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nil"/>
              <w:left w:val="nil"/>
              <w:bottom w:val="nil"/>
              <w:right w:val="nil"/>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编制日期：</w:t>
            </w:r>
          </w:p>
        </w:tc>
        <w:tc>
          <w:tcPr>
            <w:tcW w:w="1320" w:type="dxa"/>
            <w:tcBorders>
              <w:top w:val="nil"/>
              <w:left w:val="nil"/>
              <w:bottom w:val="nil"/>
              <w:right w:val="nil"/>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2020年9月</w:t>
            </w:r>
          </w:p>
        </w:tc>
        <w:tc>
          <w:tcPr>
            <w:tcW w:w="134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缴费基数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4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最低成本参考价（元）</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 说明</w:t>
            </w:r>
          </w:p>
        </w:tc>
      </w:tr>
      <w:tr>
        <w:tblPrEx>
          <w:tblCellMar>
            <w:top w:w="0" w:type="dxa"/>
            <w:left w:w="0" w:type="dxa"/>
            <w:bottom w:w="0" w:type="dxa"/>
            <w:right w:w="0" w:type="dxa"/>
          </w:tblCellMar>
        </w:tblPrEx>
        <w:trPr>
          <w:trHeight w:val="402" w:hRule="atLeast"/>
        </w:trPr>
        <w:tc>
          <w:tcPr>
            <w:tcW w:w="3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一类地区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二类地区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三类地区</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一、单兵人工成本：（1）+（2）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4383.06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4080.54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3878.87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（1）单兵直接成本：①+②+③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3138.07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2902.87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2746.07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①基本工资</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1660.00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②社保单位缴纳（合计）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886.87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其中：社保—养老</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465.02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465.02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465.02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社保—医疗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348.77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348.77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348.77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社保—失业</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社保—工伤</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16.61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社保—生育</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39.86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39.86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39.86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③住房公积金</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241.20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199.20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（2）单兵直接费用（合计）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1244.99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1177.67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1132.80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其中：服装、装备费（800元/年，分12月摊销）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法定节假日加班费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254.14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227.59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209.89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带薪年休假补贴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115.53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103.45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95.40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培训教育经费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61.16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54.94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48.93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43.95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40.64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福利统筹费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375.00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残疾人保障金</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5960.25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89.40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89.40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89.40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高温作业补贴费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间接经济补偿金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167.50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二、计入工资总额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2446.34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2197.71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2031.96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三、公司费用</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人工成本</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350.64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326.44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310.31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CellMar>
            <w:top w:w="0" w:type="dxa"/>
            <w:left w:w="0" w:type="dxa"/>
            <w:bottom w:w="0" w:type="dxa"/>
            <w:right w:w="0" w:type="dxa"/>
          </w:tblCellMar>
        </w:tblPrEx>
        <w:trPr>
          <w:trHeight w:val="48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四、增值税及附加税</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公司费用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17.53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15.52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80"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五、总成本合计（一+三+四）</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4751.24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4423.31 </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4204.69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2" w:hRule="atLeast"/>
        </w:trPr>
        <w:tc>
          <w:tcPr>
            <w:tcW w:w="9840" w:type="dxa"/>
            <w:gridSpan w:val="7"/>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注：编制说明附后</w:t>
            </w:r>
          </w:p>
        </w:tc>
      </w:tr>
    </w:tbl>
    <w:p>
      <w:pPr>
        <w:sectPr>
          <w:pgSz w:w="11906" w:h="16838"/>
          <w:pgMar w:top="1040" w:right="1066" w:bottom="989" w:left="760" w:header="851" w:footer="992" w:gutter="0"/>
          <w:cols w:space="425" w:num="1"/>
          <w:docGrid w:type="lines" w:linePitch="312" w:charSpace="0"/>
        </w:sectPr>
      </w:pPr>
    </w:p>
    <w:p>
      <w:pPr>
        <w:spacing w:line="580" w:lineRule="exact"/>
        <w:jc w:val="left"/>
        <w:rPr>
          <w:rFonts w:hint="eastAsia" w:ascii="方正小标宋简体" w:eastAsia="方正小标宋简体"/>
          <w:b/>
          <w:sz w:val="30"/>
          <w:szCs w:val="30"/>
        </w:rPr>
      </w:pPr>
      <w:r>
        <w:rPr>
          <w:rFonts w:hint="eastAsia" w:ascii="方正小标宋简体" w:eastAsia="方正小标宋简体"/>
          <w:b/>
          <w:sz w:val="30"/>
          <w:szCs w:val="30"/>
        </w:rPr>
        <w:t>附件：</w:t>
      </w:r>
    </w:p>
    <w:p>
      <w:pPr>
        <w:spacing w:line="580" w:lineRule="exact"/>
        <w:jc w:val="left"/>
        <w:rPr>
          <w:rFonts w:hint="eastAsia" w:ascii="方正小标宋简体" w:eastAsia="方正小标宋简体"/>
          <w:b/>
          <w:sz w:val="30"/>
          <w:szCs w:val="30"/>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《2020年度杭州市保安服务人力防范</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最低成本测算价》编制说明</w:t>
      </w:r>
    </w:p>
    <w:p>
      <w:pPr>
        <w:jc w:val="center"/>
        <w:rPr>
          <w:sz w:val="28"/>
          <w:szCs w:val="28"/>
        </w:rPr>
      </w:pPr>
    </w:p>
    <w:p>
      <w:pPr>
        <w:tabs>
          <w:tab w:val="left" w:pos="525"/>
        </w:tabs>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1、基本工资</w:t>
      </w:r>
    </w:p>
    <w:p>
      <w:pPr>
        <w:tabs>
          <w:tab w:val="left" w:pos="525"/>
        </w:tabs>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根据2017年度《浙江省人民政府关于调整全省最低工资标准的通知》（浙政发【2017】43号），确定保安人员最低工资标准，本测算</w:t>
      </w:r>
      <w:r>
        <w:rPr>
          <w:rFonts w:hint="eastAsia" w:ascii="仿宋_GB2312" w:eastAsia="仿宋_GB2312"/>
          <w:sz w:val="30"/>
          <w:szCs w:val="30"/>
          <w:lang w:eastAsia="zh-CN"/>
        </w:rPr>
        <w:t>价</w:t>
      </w:r>
      <w:r>
        <w:rPr>
          <w:rFonts w:hint="eastAsia" w:ascii="仿宋_GB2312" w:eastAsia="仿宋_GB2312"/>
          <w:sz w:val="30"/>
          <w:szCs w:val="30"/>
        </w:rPr>
        <w:t>表中基本工资为浙政发【2017】43号的最低工资标准。</w:t>
      </w:r>
    </w:p>
    <w:p>
      <w:pPr>
        <w:tabs>
          <w:tab w:val="left" w:pos="525"/>
        </w:tabs>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2、社保计缴基数及计缴比例</w:t>
      </w:r>
    </w:p>
    <w:tbl>
      <w:tblPr>
        <w:tblStyle w:val="6"/>
        <w:tblW w:w="8840" w:type="dxa"/>
        <w:tblInd w:w="-114"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340"/>
        <w:gridCol w:w="2084"/>
        <w:gridCol w:w="2212"/>
        <w:gridCol w:w="220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83" w:hRule="exact"/>
        </w:trPr>
        <w:tc>
          <w:tcPr>
            <w:tcW w:w="2340" w:type="dxa"/>
            <w:tcBorders>
              <w:top w:val="single" w:color="auto" w:sz="8" w:space="0"/>
              <w:bottom w:val="single" w:color="auto" w:sz="4" w:space="0"/>
            </w:tcBorders>
            <w:noWrap w:val="0"/>
            <w:vAlign w:val="center"/>
          </w:tcPr>
          <w:p>
            <w:pPr>
              <w:topLinePunct/>
              <w:autoSpaceDE w:val="0"/>
              <w:jc w:val="center"/>
              <w:rPr>
                <w:rFonts w:hint="eastAsia" w:ascii="仿宋_GB2312" w:eastAsia="仿宋_GB2312"/>
                <w:sz w:val="30"/>
                <w:szCs w:val="30"/>
              </w:rPr>
            </w:pPr>
            <w:r>
              <w:rPr>
                <w:rFonts w:hint="eastAsia" w:ascii="仿宋_GB2312" w:eastAsia="仿宋_GB2312"/>
                <w:sz w:val="30"/>
                <w:szCs w:val="30"/>
              </w:rPr>
              <w:t>社保项目</w:t>
            </w:r>
          </w:p>
        </w:tc>
        <w:tc>
          <w:tcPr>
            <w:tcW w:w="2084" w:type="dxa"/>
            <w:tcBorders>
              <w:top w:val="single" w:color="auto" w:sz="8" w:space="0"/>
              <w:bottom w:val="single" w:color="auto" w:sz="4" w:space="0"/>
            </w:tcBorders>
            <w:noWrap w:val="0"/>
            <w:vAlign w:val="center"/>
          </w:tcPr>
          <w:p>
            <w:pPr>
              <w:topLinePunct/>
              <w:autoSpaceDE w:val="0"/>
              <w:ind w:left="-158" w:leftChars="-75"/>
              <w:jc w:val="center"/>
              <w:rPr>
                <w:rFonts w:hint="eastAsia" w:ascii="仿宋_GB2312" w:eastAsia="仿宋_GB2312"/>
                <w:sz w:val="30"/>
                <w:szCs w:val="30"/>
              </w:rPr>
            </w:pPr>
            <w:r>
              <w:rPr>
                <w:rFonts w:hint="eastAsia" w:ascii="仿宋_GB2312" w:eastAsia="仿宋_GB2312"/>
                <w:sz w:val="30"/>
                <w:szCs w:val="30"/>
              </w:rPr>
              <w:t>计缴基数</w:t>
            </w:r>
          </w:p>
        </w:tc>
        <w:tc>
          <w:tcPr>
            <w:tcW w:w="2212" w:type="dxa"/>
            <w:tcBorders>
              <w:top w:val="single" w:color="auto" w:sz="8" w:space="0"/>
              <w:bottom w:val="single" w:color="auto" w:sz="4" w:space="0"/>
            </w:tcBorders>
            <w:noWrap w:val="0"/>
            <w:vAlign w:val="center"/>
          </w:tcPr>
          <w:p>
            <w:pPr>
              <w:pStyle w:val="2"/>
              <w:keepNext w:val="0"/>
              <w:topLinePunct/>
              <w:autoSpaceDN/>
              <w:spacing w:before="0" w:line="240" w:lineRule="auto"/>
              <w:ind w:right="0"/>
              <w:rPr>
                <w:rFonts w:hint="eastAsia" w:ascii="仿宋_GB2312" w:eastAsia="仿宋_GB2312"/>
                <w:color w:val="auto"/>
                <w:sz w:val="30"/>
                <w:szCs w:val="30"/>
                <w:u w:val="none"/>
              </w:rPr>
            </w:pPr>
            <w:r>
              <w:rPr>
                <w:rFonts w:hint="eastAsia" w:ascii="仿宋_GB2312" w:eastAsia="仿宋_GB2312"/>
                <w:color w:val="auto"/>
                <w:sz w:val="30"/>
                <w:szCs w:val="30"/>
                <w:u w:val="none"/>
              </w:rPr>
              <w:t>公司计缴比例</w:t>
            </w:r>
          </w:p>
        </w:tc>
        <w:tc>
          <w:tcPr>
            <w:tcW w:w="2204" w:type="dxa"/>
            <w:tcBorders>
              <w:top w:val="single" w:color="auto" w:sz="8" w:space="0"/>
              <w:bottom w:val="single" w:color="auto" w:sz="4" w:space="0"/>
            </w:tcBorders>
            <w:noWrap w:val="0"/>
            <w:vAlign w:val="center"/>
          </w:tcPr>
          <w:p>
            <w:pPr>
              <w:topLinePunct/>
              <w:autoSpaceDE w:val="0"/>
              <w:ind w:left="3" w:leftChars="-13" w:hanging="30" w:hangingChars="10"/>
              <w:jc w:val="center"/>
              <w:rPr>
                <w:rFonts w:hint="eastAsia" w:ascii="仿宋_GB2312" w:eastAsia="仿宋_GB2312"/>
                <w:sz w:val="30"/>
                <w:szCs w:val="30"/>
              </w:rPr>
            </w:pPr>
            <w:r>
              <w:rPr>
                <w:rFonts w:hint="eastAsia" w:ascii="仿宋_GB2312" w:eastAsia="仿宋_GB2312"/>
                <w:sz w:val="30"/>
                <w:szCs w:val="30"/>
              </w:rPr>
              <w:t>个人计缴比例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3" w:hRule="exact"/>
        </w:trPr>
        <w:tc>
          <w:tcPr>
            <w:tcW w:w="2340" w:type="dxa"/>
            <w:tcBorders>
              <w:top w:val="single" w:color="auto" w:sz="4" w:space="0"/>
            </w:tcBorders>
            <w:noWrap w:val="0"/>
            <w:vAlign w:val="center"/>
          </w:tcPr>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养老</w:t>
            </w:r>
          </w:p>
        </w:tc>
        <w:tc>
          <w:tcPr>
            <w:tcW w:w="2084" w:type="dxa"/>
            <w:tcBorders>
              <w:top w:val="single" w:color="auto" w:sz="4" w:space="0"/>
            </w:tcBorders>
            <w:noWrap w:val="0"/>
            <w:vAlign w:val="center"/>
          </w:tcPr>
          <w:p>
            <w:pPr>
              <w:topLinePunct/>
              <w:autoSpaceDE w:val="0"/>
              <w:ind w:firstLine="462" w:firstLineChars="154"/>
              <w:rPr>
                <w:rFonts w:hint="eastAsia" w:ascii="仿宋_GB2312" w:eastAsia="仿宋_GB2312"/>
                <w:sz w:val="30"/>
                <w:szCs w:val="30"/>
              </w:rPr>
            </w:pPr>
            <w:bookmarkStart w:id="0" w:name="OLE_LINK11"/>
            <w:bookmarkStart w:id="1" w:name="OLE_LINK12"/>
            <w:bookmarkStart w:id="2" w:name="OLE_LINK13"/>
            <w:r>
              <w:rPr>
                <w:rFonts w:hint="eastAsia" w:ascii="仿宋_GB2312" w:eastAsia="仿宋_GB2312"/>
                <w:sz w:val="30"/>
                <w:szCs w:val="30"/>
              </w:rPr>
              <w:t>社平60%</w:t>
            </w:r>
          </w:p>
          <w:bookmarkEnd w:id="0"/>
          <w:bookmarkEnd w:id="1"/>
          <w:bookmarkEnd w:id="2"/>
          <w:p>
            <w:pPr>
              <w:topLinePunct/>
              <w:autoSpaceDE w:val="0"/>
              <w:ind w:firstLine="600" w:firstLineChars="200"/>
              <w:rPr>
                <w:rFonts w:hint="eastAsia" w:ascii="仿宋_GB2312" w:eastAsia="仿宋_GB2312"/>
                <w:sz w:val="30"/>
                <w:szCs w:val="30"/>
              </w:rPr>
            </w:pPr>
          </w:p>
        </w:tc>
        <w:tc>
          <w:tcPr>
            <w:tcW w:w="2212" w:type="dxa"/>
            <w:tcBorders>
              <w:top w:val="single" w:color="auto" w:sz="4" w:space="0"/>
            </w:tcBorders>
            <w:noWrap w:val="0"/>
            <w:vAlign w:val="center"/>
          </w:tcPr>
          <w:p>
            <w:pPr>
              <w:topLinePunct/>
              <w:autoSpaceDE w:val="0"/>
              <w:ind w:firstLine="1350" w:firstLineChars="450"/>
              <w:rPr>
                <w:rFonts w:hint="eastAsia" w:ascii="仿宋_GB2312" w:eastAsia="仿宋_GB2312"/>
                <w:sz w:val="30"/>
                <w:szCs w:val="30"/>
              </w:rPr>
            </w:pPr>
            <w:r>
              <w:rPr>
                <w:rFonts w:hint="eastAsia" w:ascii="仿宋_GB2312" w:eastAsia="仿宋_GB2312"/>
                <w:sz w:val="30"/>
                <w:szCs w:val="30"/>
              </w:rPr>
              <w:t>14%</w:t>
            </w:r>
          </w:p>
        </w:tc>
        <w:tc>
          <w:tcPr>
            <w:tcW w:w="2204" w:type="dxa"/>
            <w:tcBorders>
              <w:top w:val="single" w:color="auto" w:sz="4" w:space="0"/>
            </w:tcBorders>
            <w:noWrap w:val="0"/>
            <w:vAlign w:val="center"/>
          </w:tcPr>
          <w:p>
            <w:pPr>
              <w:topLinePunct/>
              <w:autoSpaceDE w:val="0"/>
              <w:ind w:firstLine="1350" w:firstLineChars="450"/>
              <w:rPr>
                <w:rFonts w:hint="eastAsia" w:ascii="仿宋_GB2312" w:eastAsia="仿宋_GB2312"/>
                <w:sz w:val="30"/>
                <w:szCs w:val="30"/>
              </w:rPr>
            </w:pPr>
            <w:r>
              <w:rPr>
                <w:rFonts w:hint="eastAsia" w:ascii="仿宋_GB2312" w:eastAsia="仿宋_GB2312"/>
                <w:sz w:val="30"/>
                <w:szCs w:val="30"/>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7" w:hRule="exact"/>
        </w:trPr>
        <w:tc>
          <w:tcPr>
            <w:tcW w:w="2340" w:type="dxa"/>
            <w:noWrap w:val="0"/>
            <w:vAlign w:val="center"/>
          </w:tcPr>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医疗</w:t>
            </w:r>
          </w:p>
        </w:tc>
        <w:tc>
          <w:tcPr>
            <w:tcW w:w="2084" w:type="dxa"/>
            <w:noWrap w:val="0"/>
            <w:vAlign w:val="center"/>
          </w:tcPr>
          <w:p>
            <w:pPr>
              <w:topLinePunct/>
              <w:autoSpaceDE w:val="0"/>
              <w:ind w:firstLine="465" w:firstLineChars="155"/>
              <w:rPr>
                <w:rFonts w:hint="eastAsia" w:ascii="仿宋_GB2312" w:eastAsia="仿宋_GB2312"/>
                <w:sz w:val="30"/>
                <w:szCs w:val="30"/>
              </w:rPr>
            </w:pPr>
            <w:r>
              <w:rPr>
                <w:rFonts w:hint="eastAsia" w:ascii="仿宋_GB2312" w:eastAsia="仿宋_GB2312"/>
                <w:sz w:val="30"/>
                <w:szCs w:val="30"/>
              </w:rPr>
              <w:t>社平60%</w:t>
            </w:r>
          </w:p>
          <w:p>
            <w:pPr>
              <w:topLinePunct/>
              <w:autoSpaceDE w:val="0"/>
              <w:ind w:firstLine="600" w:firstLineChars="200"/>
              <w:rPr>
                <w:rFonts w:hint="eastAsia" w:ascii="仿宋_GB2312" w:eastAsia="仿宋_GB2312"/>
                <w:sz w:val="30"/>
                <w:szCs w:val="30"/>
              </w:rPr>
            </w:pPr>
          </w:p>
        </w:tc>
        <w:tc>
          <w:tcPr>
            <w:tcW w:w="2212" w:type="dxa"/>
            <w:noWrap w:val="0"/>
            <w:vAlign w:val="center"/>
          </w:tcPr>
          <w:p>
            <w:pPr>
              <w:topLinePunct/>
              <w:autoSpaceDE w:val="0"/>
              <w:ind w:firstLine="1050" w:firstLineChars="350"/>
              <w:rPr>
                <w:rFonts w:hint="eastAsia" w:ascii="仿宋_GB2312" w:eastAsia="仿宋_GB2312"/>
                <w:sz w:val="30"/>
                <w:szCs w:val="30"/>
              </w:rPr>
            </w:pPr>
            <w:r>
              <w:rPr>
                <w:rFonts w:hint="eastAsia" w:ascii="仿宋_GB2312" w:eastAsia="仿宋_GB2312"/>
                <w:sz w:val="30"/>
                <w:szCs w:val="30"/>
              </w:rPr>
              <w:t>10.5%</w:t>
            </w:r>
          </w:p>
        </w:tc>
        <w:tc>
          <w:tcPr>
            <w:tcW w:w="2204" w:type="dxa"/>
            <w:noWrap w:val="0"/>
            <w:vAlign w:val="center"/>
          </w:tcPr>
          <w:p>
            <w:pPr>
              <w:topLinePunct/>
              <w:autoSpaceDE w:val="0"/>
              <w:ind w:firstLine="1347" w:firstLineChars="449"/>
              <w:rPr>
                <w:rFonts w:hint="eastAsia" w:ascii="仿宋_GB2312" w:eastAsia="仿宋_GB2312"/>
                <w:sz w:val="30"/>
                <w:szCs w:val="30"/>
              </w:rPr>
            </w:pPr>
            <w:r>
              <w:rPr>
                <w:rFonts w:hint="eastAsia" w:ascii="仿宋_GB2312" w:eastAsia="仿宋_GB2312"/>
                <w:sz w:val="30"/>
                <w:szCs w:val="30"/>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89" w:hRule="exact"/>
        </w:trPr>
        <w:tc>
          <w:tcPr>
            <w:tcW w:w="2340" w:type="dxa"/>
            <w:noWrap w:val="0"/>
            <w:vAlign w:val="center"/>
          </w:tcPr>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失业</w:t>
            </w:r>
          </w:p>
        </w:tc>
        <w:tc>
          <w:tcPr>
            <w:tcW w:w="2084" w:type="dxa"/>
            <w:noWrap w:val="0"/>
            <w:vAlign w:val="center"/>
          </w:tcPr>
          <w:p>
            <w:pPr>
              <w:topLinePunct/>
              <w:autoSpaceDE w:val="0"/>
              <w:ind w:firstLine="465" w:firstLineChars="155"/>
              <w:rPr>
                <w:rFonts w:hint="eastAsia" w:ascii="仿宋_GB2312" w:eastAsia="仿宋_GB2312"/>
                <w:sz w:val="30"/>
                <w:szCs w:val="30"/>
              </w:rPr>
            </w:pPr>
            <w:r>
              <w:rPr>
                <w:rFonts w:hint="eastAsia" w:ascii="仿宋_GB2312" w:eastAsia="仿宋_GB2312"/>
                <w:sz w:val="30"/>
                <w:szCs w:val="30"/>
              </w:rPr>
              <w:t>社平60%</w:t>
            </w:r>
          </w:p>
          <w:p>
            <w:pPr>
              <w:topLinePunct/>
              <w:autoSpaceDE w:val="0"/>
              <w:ind w:firstLine="600" w:firstLineChars="200"/>
              <w:rPr>
                <w:rFonts w:hint="eastAsia" w:ascii="仿宋_GB2312" w:eastAsia="仿宋_GB2312"/>
                <w:sz w:val="30"/>
                <w:szCs w:val="30"/>
              </w:rPr>
            </w:pPr>
          </w:p>
        </w:tc>
        <w:tc>
          <w:tcPr>
            <w:tcW w:w="2212" w:type="dxa"/>
            <w:noWrap w:val="0"/>
            <w:vAlign w:val="center"/>
          </w:tcPr>
          <w:p>
            <w:pPr>
              <w:topLinePunct/>
              <w:autoSpaceDE w:val="0"/>
              <w:ind w:firstLine="1200" w:firstLineChars="400"/>
              <w:rPr>
                <w:rFonts w:hint="eastAsia" w:ascii="仿宋_GB2312" w:eastAsia="仿宋_GB2312"/>
                <w:sz w:val="30"/>
                <w:szCs w:val="30"/>
              </w:rPr>
            </w:pPr>
            <w:r>
              <w:rPr>
                <w:rFonts w:hint="eastAsia" w:ascii="仿宋_GB2312" w:eastAsia="仿宋_GB2312"/>
                <w:sz w:val="30"/>
                <w:szCs w:val="30"/>
              </w:rPr>
              <w:t>0.5%</w:t>
            </w:r>
          </w:p>
        </w:tc>
        <w:tc>
          <w:tcPr>
            <w:tcW w:w="2204" w:type="dxa"/>
            <w:noWrap w:val="0"/>
            <w:vAlign w:val="center"/>
          </w:tcPr>
          <w:p>
            <w:pPr>
              <w:topLinePunct/>
              <w:autoSpaceDE w:val="0"/>
              <w:ind w:firstLine="1050" w:firstLineChars="350"/>
              <w:rPr>
                <w:rFonts w:hint="eastAsia" w:ascii="仿宋_GB2312" w:eastAsia="仿宋_GB2312"/>
                <w:sz w:val="30"/>
                <w:szCs w:val="30"/>
              </w:rPr>
            </w:pPr>
            <w:r>
              <w:rPr>
                <w:rFonts w:hint="eastAsia" w:ascii="仿宋_GB2312" w:eastAsia="仿宋_GB2312"/>
                <w:sz w:val="30"/>
                <w:szCs w:val="30"/>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9" w:hRule="exact"/>
        </w:trPr>
        <w:tc>
          <w:tcPr>
            <w:tcW w:w="2340" w:type="dxa"/>
            <w:noWrap w:val="0"/>
            <w:vAlign w:val="center"/>
          </w:tcPr>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工伤</w:t>
            </w:r>
          </w:p>
        </w:tc>
        <w:tc>
          <w:tcPr>
            <w:tcW w:w="2084" w:type="dxa"/>
            <w:noWrap w:val="0"/>
            <w:vAlign w:val="center"/>
          </w:tcPr>
          <w:p>
            <w:pPr>
              <w:topLinePunct/>
              <w:autoSpaceDE w:val="0"/>
              <w:ind w:firstLine="465" w:firstLineChars="155"/>
              <w:rPr>
                <w:rFonts w:hint="eastAsia" w:ascii="仿宋_GB2312" w:eastAsia="仿宋_GB2312"/>
                <w:sz w:val="30"/>
                <w:szCs w:val="30"/>
              </w:rPr>
            </w:pPr>
            <w:r>
              <w:rPr>
                <w:rFonts w:hint="eastAsia" w:ascii="仿宋_GB2312" w:eastAsia="仿宋_GB2312"/>
                <w:sz w:val="30"/>
                <w:szCs w:val="30"/>
              </w:rPr>
              <w:t>社平60%</w:t>
            </w:r>
          </w:p>
          <w:p>
            <w:pPr>
              <w:topLinePunct/>
              <w:autoSpaceDE w:val="0"/>
              <w:ind w:firstLine="600" w:firstLineChars="200"/>
              <w:rPr>
                <w:rFonts w:hint="eastAsia" w:ascii="仿宋_GB2312" w:eastAsia="仿宋_GB2312"/>
                <w:sz w:val="30"/>
                <w:szCs w:val="30"/>
              </w:rPr>
            </w:pPr>
          </w:p>
        </w:tc>
        <w:tc>
          <w:tcPr>
            <w:tcW w:w="2212" w:type="dxa"/>
            <w:noWrap w:val="0"/>
            <w:vAlign w:val="center"/>
          </w:tcPr>
          <w:p>
            <w:pPr>
              <w:topLinePunct/>
              <w:autoSpaceDE w:val="0"/>
              <w:ind w:firstLine="1200" w:firstLineChars="400"/>
              <w:rPr>
                <w:rFonts w:hint="eastAsia" w:ascii="仿宋_GB2312" w:eastAsia="仿宋_GB2312"/>
                <w:sz w:val="30"/>
                <w:szCs w:val="30"/>
              </w:rPr>
            </w:pPr>
            <w:r>
              <w:rPr>
                <w:rFonts w:hint="eastAsia" w:ascii="仿宋_GB2312" w:eastAsia="仿宋_GB2312"/>
                <w:sz w:val="30"/>
                <w:szCs w:val="30"/>
              </w:rPr>
              <w:t>0.5%</w:t>
            </w:r>
          </w:p>
        </w:tc>
        <w:tc>
          <w:tcPr>
            <w:tcW w:w="2204" w:type="dxa"/>
            <w:noWrap w:val="0"/>
            <w:vAlign w:val="center"/>
          </w:tcPr>
          <w:p>
            <w:pPr>
              <w:topLinePunct/>
              <w:autoSpaceDE w:val="0"/>
              <w:ind w:firstLine="1050" w:firstLineChars="350"/>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9" w:hRule="exact"/>
        </w:trPr>
        <w:tc>
          <w:tcPr>
            <w:tcW w:w="2340" w:type="dxa"/>
            <w:noWrap w:val="0"/>
            <w:vAlign w:val="center"/>
          </w:tcPr>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生育</w:t>
            </w:r>
          </w:p>
        </w:tc>
        <w:tc>
          <w:tcPr>
            <w:tcW w:w="2084" w:type="dxa"/>
            <w:noWrap w:val="0"/>
            <w:vAlign w:val="center"/>
          </w:tcPr>
          <w:p>
            <w:pPr>
              <w:topLinePunct/>
              <w:autoSpaceDE w:val="0"/>
              <w:ind w:firstLine="465" w:firstLineChars="155"/>
              <w:rPr>
                <w:rFonts w:hint="eastAsia" w:ascii="仿宋_GB2312" w:eastAsia="仿宋_GB2312"/>
                <w:sz w:val="30"/>
                <w:szCs w:val="30"/>
              </w:rPr>
            </w:pPr>
            <w:r>
              <w:rPr>
                <w:rFonts w:hint="eastAsia" w:ascii="仿宋_GB2312" w:eastAsia="仿宋_GB2312"/>
                <w:sz w:val="30"/>
                <w:szCs w:val="30"/>
              </w:rPr>
              <w:t>社平60%</w:t>
            </w:r>
          </w:p>
          <w:p>
            <w:pPr>
              <w:topLinePunct/>
              <w:autoSpaceDE w:val="0"/>
              <w:ind w:firstLine="600" w:firstLineChars="200"/>
              <w:rPr>
                <w:rFonts w:hint="eastAsia" w:ascii="仿宋_GB2312" w:eastAsia="仿宋_GB2312"/>
                <w:sz w:val="30"/>
                <w:szCs w:val="30"/>
              </w:rPr>
            </w:pPr>
          </w:p>
        </w:tc>
        <w:tc>
          <w:tcPr>
            <w:tcW w:w="2212" w:type="dxa"/>
            <w:noWrap w:val="0"/>
            <w:vAlign w:val="center"/>
          </w:tcPr>
          <w:p>
            <w:pPr>
              <w:topLinePunct/>
              <w:autoSpaceDE w:val="0"/>
              <w:ind w:firstLine="1200" w:firstLineChars="400"/>
              <w:rPr>
                <w:rFonts w:hint="eastAsia" w:ascii="仿宋_GB2312" w:eastAsia="仿宋_GB2312"/>
                <w:sz w:val="30"/>
                <w:szCs w:val="30"/>
              </w:rPr>
            </w:pPr>
            <w:r>
              <w:rPr>
                <w:rFonts w:hint="eastAsia" w:ascii="仿宋_GB2312" w:eastAsia="仿宋_GB2312"/>
                <w:sz w:val="30"/>
                <w:szCs w:val="30"/>
              </w:rPr>
              <w:t>1.2%</w:t>
            </w:r>
          </w:p>
        </w:tc>
        <w:tc>
          <w:tcPr>
            <w:tcW w:w="2204" w:type="dxa"/>
            <w:noWrap w:val="0"/>
            <w:vAlign w:val="center"/>
          </w:tcPr>
          <w:p>
            <w:pPr>
              <w:topLinePunct/>
              <w:autoSpaceDE w:val="0"/>
              <w:ind w:firstLine="1050" w:firstLineChars="350"/>
              <w:rPr>
                <w:rFonts w:hint="eastAsia" w:ascii="仿宋_GB2312" w:eastAsia="仿宋_GB2312"/>
                <w:sz w:val="30"/>
                <w:szCs w:val="30"/>
              </w:rPr>
            </w:pPr>
            <w:r>
              <w:rPr>
                <w:rFonts w:hint="eastAsia" w:ascii="仿宋_GB2312" w:eastAsia="仿宋_GB2312"/>
                <w:sz w:val="30"/>
                <w:szCs w:val="30"/>
              </w:rPr>
              <w:t>\</w:t>
            </w:r>
          </w:p>
        </w:tc>
      </w:tr>
    </w:tbl>
    <w:p>
      <w:pPr>
        <w:topLinePunct/>
        <w:autoSpaceDE w:val="0"/>
        <w:ind w:firstLine="600" w:firstLineChars="200"/>
        <w:rPr>
          <w:rFonts w:ascii="仿宋_GB2312" w:eastAsia="仿宋_GB2312"/>
          <w:bCs/>
          <w:iCs/>
          <w:kern w:val="0"/>
          <w:sz w:val="30"/>
          <w:szCs w:val="30"/>
        </w:rPr>
      </w:pPr>
      <w:r>
        <w:rPr>
          <w:rFonts w:hint="eastAsia" w:ascii="仿宋_GB2312" w:eastAsia="仿宋_GB2312"/>
          <w:sz w:val="30"/>
          <w:szCs w:val="30"/>
        </w:rPr>
        <w:t>根据2020年7月6日《浙江省人力资源和社会保障厅关于发布2019年浙江省全社会单位就业人员年平均工资的通知》（浙人社发【2020】32号）和2020年7月10日《浙江省人力资源和社会保障厅 浙江省财政厅 国家税务总局浙江省税务局转发人力资源社会保障部 财政部 税务总局关于延长阶段性减免企业社会保险费政策实施期限等问题的通知》（浙人社发〔2020〕33号）文件规定，2019年浙江省全社会单位就业人员年平均工资为71523元，2020年社会保险个人缴费基数下限继续执行2019年个人缴费基数下限标准，即3321.60元。</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根据2020年6月30日杭州住房公积金管理中心发布的《关于开展2020年度住房公积金调整工作的通知》，自2020年7月1日起，各住房公积金缴存单位应当调整并执行调整后的住房公积金缴存基数，缴存基数下限为政府公布执行的当地最低工资标准（即杭州主城区、萧山区、余杭区和富阳区下限为2010元，临安区下限为1800元，建德市、桐庐县、淳安县下限为1660元），缴存单位可在5%-12%的区间内，自主确定住房公积金缴存比例（本测算</w:t>
      </w:r>
      <w:r>
        <w:rPr>
          <w:rFonts w:hint="eastAsia" w:ascii="仿宋_GB2312" w:eastAsia="仿宋_GB2312"/>
          <w:bCs/>
          <w:iCs/>
          <w:kern w:val="0"/>
          <w:sz w:val="30"/>
          <w:szCs w:val="30"/>
          <w:lang w:eastAsia="zh-CN"/>
        </w:rPr>
        <w:t>价</w:t>
      </w:r>
      <w:r>
        <w:rPr>
          <w:rFonts w:hint="eastAsia" w:ascii="仿宋_GB2312" w:eastAsia="仿宋_GB2312"/>
          <w:bCs/>
          <w:iCs/>
          <w:kern w:val="0"/>
          <w:sz w:val="30"/>
          <w:szCs w:val="30"/>
        </w:rPr>
        <w:t>的缴存比例为12%），同一单位实行同一缴存比例。（各省辖市规定下限）</w:t>
      </w:r>
    </w:p>
    <w:p>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3、法定节假日加班费</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按照《全国年节及纪念日放假办法》（国务院令第513号）、《关于职工全年月平均工作时间和工资折算问题的通知》（劳社部发（2008）3号）的规定：按每月工作时间21.75天，法定节假日11天计算。（法律规定最低水平）</w:t>
      </w:r>
    </w:p>
    <w:p>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4、带薪年休假补贴</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按照《职工带薪年休假条例》、《企业职工带薪年休假实施办法》、《劳动合同法》有关规定，以保安员基本工资标准，每月工作21.75天，平均5天年休假计算。（法律规定最低水平）</w:t>
      </w:r>
    </w:p>
    <w:p>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5、培训教育经费</w:t>
      </w:r>
    </w:p>
    <w:p>
      <w:pPr>
        <w:topLinePunct/>
        <w:autoSpaceDE w:val="0"/>
        <w:ind w:firstLine="600" w:firstLineChars="200"/>
        <w:rPr>
          <w:rFonts w:hint="eastAsia" w:ascii="仿宋_GB2312" w:eastAsia="仿宋_GB2312"/>
          <w:bCs/>
          <w:kern w:val="0"/>
          <w:sz w:val="30"/>
          <w:szCs w:val="30"/>
        </w:rPr>
      </w:pPr>
      <w:r>
        <w:rPr>
          <w:rFonts w:hint="eastAsia" w:ascii="仿宋_GB2312" w:eastAsia="仿宋_GB2312"/>
          <w:bCs/>
          <w:kern w:val="0"/>
          <w:sz w:val="30"/>
          <w:szCs w:val="30"/>
        </w:rPr>
        <w:t>以工资总额为计提基数，按不超过2.5%计算教育经费。综合考虑了保安员上岗培训费，以及保安人员上岗证等费用支出。</w:t>
      </w:r>
    </w:p>
    <w:p>
      <w:pPr>
        <w:topLinePunct/>
        <w:autoSpaceDE w:val="0"/>
        <w:ind w:firstLine="602" w:firstLineChars="200"/>
        <w:rPr>
          <w:rFonts w:hint="eastAsia" w:ascii="仿宋_GB2312" w:eastAsia="仿宋_GB2312"/>
          <w:b/>
          <w:sz w:val="30"/>
          <w:szCs w:val="30"/>
        </w:rPr>
      </w:pPr>
      <w:r>
        <w:rPr>
          <w:rFonts w:hint="eastAsia" w:ascii="仿宋_GB2312" w:eastAsia="仿宋_GB2312"/>
          <w:b/>
          <w:bCs/>
          <w:kern w:val="0"/>
          <w:sz w:val="30"/>
          <w:szCs w:val="30"/>
        </w:rPr>
        <w:t>6、</w:t>
      </w:r>
      <w:r>
        <w:rPr>
          <w:rFonts w:hint="eastAsia" w:ascii="仿宋_GB2312" w:eastAsia="仿宋_GB2312"/>
          <w:b/>
          <w:sz w:val="30"/>
          <w:szCs w:val="30"/>
        </w:rPr>
        <w:t>工会经费和福利统筹费</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中华人民共和国工会法》主席令[2001]第62号第四十二条和浙江省总工会文件（浙总工发【2018】11号）（浙江省总工会印发《关于加强和规范基层工会经费收支管理的实施细则》的通知）规定了工会经费的来源：建立工会组织的企业、事业单位、机关按每月全部职工工资总额的百分之二向工会拨缴的经费；以工资总额为基数计缴。</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（浙总工发【2018】11号）中指出，（一）</w:t>
      </w:r>
      <w:r>
        <w:rPr>
          <w:rFonts w:hint="eastAsia" w:ascii="仿宋_GB2312" w:eastAsia="仿宋_GB2312"/>
          <w:b/>
          <w:bCs/>
          <w:iCs/>
          <w:kern w:val="0"/>
          <w:sz w:val="30"/>
          <w:szCs w:val="30"/>
        </w:rPr>
        <w:t>职工集体福利支出相关标准：</w:t>
      </w:r>
      <w:r>
        <w:rPr>
          <w:rFonts w:hint="eastAsia" w:ascii="仿宋_GB2312" w:eastAsia="仿宋_GB2312"/>
          <w:bCs/>
          <w:iCs/>
          <w:kern w:val="0"/>
          <w:sz w:val="30"/>
          <w:szCs w:val="30"/>
        </w:rPr>
        <w:t>基层工会可在国家规定的法定节日（元旦、春节、清明节、劳动节、端午节、中秋节和国庆节）向全体会员发放节日慰问品，发放标准原则上每人每年不超过1500元；</w:t>
      </w:r>
      <w:r>
        <w:rPr>
          <w:rFonts w:hint="eastAsia" w:ascii="仿宋_GB2312" w:eastAsia="仿宋_GB2312"/>
          <w:b/>
          <w:bCs/>
          <w:iCs/>
          <w:kern w:val="0"/>
          <w:sz w:val="30"/>
          <w:szCs w:val="30"/>
        </w:rPr>
        <w:t>（五）困难职工帮扶支出相关标准：</w:t>
      </w:r>
      <w:r>
        <w:rPr>
          <w:rFonts w:hint="eastAsia" w:ascii="仿宋_GB2312" w:eastAsia="仿宋_GB2312"/>
          <w:bCs/>
          <w:iCs/>
          <w:kern w:val="0"/>
          <w:sz w:val="30"/>
          <w:szCs w:val="30"/>
        </w:rPr>
        <w:t>工会会员本人及家庭因大病、意外事故、子女就学等原因致困时，基层工会根据会员困难情况，经工会委员会讨论确定后，可一次性给予不超过3000元的救助慰问金。（福利统筹费的计算按合计4500元，12个月分摊。）</w:t>
      </w:r>
    </w:p>
    <w:p>
      <w:pPr>
        <w:topLinePunct/>
        <w:autoSpaceDE w:val="0"/>
        <w:ind w:firstLine="602" w:firstLineChars="200"/>
        <w:rPr>
          <w:rFonts w:hint="eastAsia" w:ascii="仿宋_GB2312" w:eastAsia="仿宋_GB2312"/>
          <w:b/>
          <w:sz w:val="30"/>
          <w:szCs w:val="30"/>
        </w:rPr>
      </w:pPr>
      <w:r>
        <w:rPr>
          <w:rFonts w:hint="eastAsia" w:ascii="仿宋_GB2312" w:eastAsia="仿宋_GB2312"/>
          <w:b/>
          <w:bCs/>
          <w:iCs/>
          <w:kern w:val="0"/>
          <w:sz w:val="30"/>
          <w:szCs w:val="30"/>
        </w:rPr>
        <w:t>7、</w:t>
      </w:r>
      <w:r>
        <w:rPr>
          <w:rFonts w:hint="eastAsia" w:ascii="仿宋_GB2312" w:eastAsia="仿宋_GB2312"/>
          <w:b/>
          <w:sz w:val="30"/>
          <w:szCs w:val="30"/>
        </w:rPr>
        <w:t>残保金</w:t>
      </w:r>
    </w:p>
    <w:p>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（1）根据《残疾人就业条例》（国务院第488号令）、《浙江省按比例安排残疾人就业办法》（</w:t>
      </w:r>
      <w:r>
        <w:rPr>
          <w:rFonts w:hint="eastAsia" w:ascii="仿宋_GB2312" w:eastAsia="仿宋_GB2312"/>
          <w:spacing w:val="-4"/>
          <w:sz w:val="30"/>
          <w:szCs w:val="30"/>
        </w:rPr>
        <w:t>省政府第155号令</w:t>
      </w:r>
      <w:r>
        <w:rPr>
          <w:rFonts w:hint="eastAsia" w:ascii="仿宋_GB2312" w:eastAsia="仿宋_GB2312"/>
          <w:sz w:val="30"/>
          <w:szCs w:val="30"/>
        </w:rPr>
        <w:t>）和《浙江省财政厅 浙江省地方税务局 浙江省残疾人联合会转发财政部 国家税务总局 中国残疾人联合会关于印发&lt;残疾人就业保障金征收使用管理办法&gt;的通知》（浙财社〔2017〕26号）文件等有关规定；</w:t>
      </w:r>
    </w:p>
    <w:p>
      <w:pPr>
        <w:topLinePunct/>
        <w:autoSpaceDE w:val="0"/>
        <w:ind w:firstLine="600" w:firstLineChars="200"/>
        <w:rPr>
          <w:rFonts w:hint="eastAsia" w:ascii="仿宋_GB2312" w:eastAsia="仿宋_GB2312"/>
          <w:bCs/>
          <w:iCs/>
          <w:kern w:val="0"/>
          <w:sz w:val="30"/>
          <w:szCs w:val="30"/>
        </w:rPr>
      </w:pPr>
      <w:r>
        <w:rPr>
          <w:rFonts w:hint="eastAsia" w:ascii="仿宋_GB2312" w:eastAsia="仿宋_GB2312"/>
          <w:sz w:val="30"/>
          <w:szCs w:val="30"/>
        </w:rPr>
        <w:t>（2）</w:t>
      </w:r>
      <w:r>
        <w:rPr>
          <w:rFonts w:hint="eastAsia" w:ascii="仿宋_GB2312" w:eastAsia="仿宋_GB2312"/>
          <w:bCs/>
          <w:iCs/>
          <w:kern w:val="0"/>
          <w:sz w:val="30"/>
          <w:szCs w:val="30"/>
        </w:rPr>
        <w:t>根据浙江省统计局《2019年浙江省全社会单位就业人员年平均工资统计公报》（〔2020〕4号），确认2019年浙江省全社会单位就业人员年平均工资为71523元，即月平均工资为5960.25元。计算2020年度残保金计缴金额。</w:t>
      </w:r>
    </w:p>
    <w:p>
      <w:pPr>
        <w:ind w:firstLine="602" w:firstLineChars="200"/>
        <w:rPr>
          <w:rFonts w:hint="eastAsia" w:ascii="仿宋_GB2312" w:eastAsia="仿宋_GB2312"/>
          <w:b/>
          <w:sz w:val="30"/>
          <w:szCs w:val="30"/>
        </w:rPr>
      </w:pPr>
      <w:r>
        <w:rPr>
          <w:rFonts w:hint="eastAsia" w:ascii="仿宋_GB2312" w:eastAsia="仿宋_GB2312"/>
          <w:b/>
          <w:sz w:val="30"/>
          <w:szCs w:val="30"/>
        </w:rPr>
        <w:t>8、高温作业费</w:t>
      </w:r>
    </w:p>
    <w:p>
      <w:pPr>
        <w:shd w:val="clear" w:color="auto" w:fill="FFFFFF"/>
        <w:ind w:firstLine="600" w:firstLineChars="200"/>
        <w:rPr>
          <w:rFonts w:hint="eastAsia" w:ascii="仿宋_GB2312" w:eastAsia="仿宋_GB2312"/>
          <w:sz w:val="30"/>
          <w:szCs w:val="30"/>
        </w:rPr>
      </w:pPr>
      <w:r>
        <w:rPr>
          <w:rFonts w:hint="eastAsia" w:ascii="仿宋_GB2312" w:eastAsia="仿宋_GB2312"/>
          <w:bCs/>
          <w:kern w:val="0"/>
          <w:sz w:val="30"/>
          <w:szCs w:val="30"/>
        </w:rPr>
        <w:t>根据2016年6月21日</w:t>
      </w:r>
      <w:r>
        <w:rPr>
          <w:rFonts w:hint="eastAsia" w:ascii="仿宋_GB2312" w:eastAsia="仿宋_GB2312"/>
          <w:sz w:val="30"/>
          <w:szCs w:val="30"/>
        </w:rPr>
        <w:t>《浙江省人力资源和社会保障厅关于调整企业夏季高温津贴标准有关问题的通知》（浙人社发【2018】65号）文件</w:t>
      </w:r>
      <w:r>
        <w:rPr>
          <w:rFonts w:hint="eastAsia" w:ascii="仿宋_GB2312" w:eastAsia="仿宋_GB2312"/>
          <w:bCs/>
          <w:kern w:val="0"/>
          <w:sz w:val="30"/>
          <w:szCs w:val="30"/>
        </w:rPr>
        <w:t>内容，其中</w:t>
      </w:r>
      <w:r>
        <w:rPr>
          <w:rFonts w:hint="eastAsia" w:ascii="仿宋_GB2312" w:hAnsi="微软雅黑" w:eastAsia="仿宋_GB2312"/>
          <w:sz w:val="32"/>
          <w:szCs w:val="32"/>
        </w:rPr>
        <w:t>企业职工夏季高温津贴标准调整为：室外作业人员每人每月300元；室内作业人员每人每月200元。发放时间为4个月（6月、7月、8月、9月）。</w:t>
      </w:r>
      <w:r>
        <w:rPr>
          <w:rFonts w:hint="eastAsia" w:ascii="仿宋_GB2312" w:eastAsia="仿宋_GB2312"/>
          <w:bCs/>
          <w:iCs/>
          <w:kern w:val="0"/>
          <w:sz w:val="30"/>
          <w:szCs w:val="30"/>
        </w:rPr>
        <w:t>本测算</w:t>
      </w:r>
      <w:r>
        <w:rPr>
          <w:rFonts w:hint="eastAsia" w:ascii="仿宋_GB2312" w:eastAsia="仿宋_GB2312"/>
          <w:bCs/>
          <w:iCs/>
          <w:kern w:val="0"/>
          <w:sz w:val="30"/>
          <w:szCs w:val="30"/>
          <w:lang w:eastAsia="zh-CN"/>
        </w:rPr>
        <w:t>价</w:t>
      </w:r>
      <w:r>
        <w:rPr>
          <w:rFonts w:hint="eastAsia" w:ascii="仿宋_GB2312" w:eastAsia="仿宋_GB2312"/>
          <w:sz w:val="30"/>
          <w:szCs w:val="30"/>
        </w:rPr>
        <w:t>按全年800元， 12个月分摊计算。</w:t>
      </w:r>
    </w:p>
    <w:p>
      <w:pPr>
        <w:ind w:firstLine="602" w:firstLineChars="200"/>
        <w:rPr>
          <w:rFonts w:hint="eastAsia" w:ascii="仿宋_GB2312" w:eastAsia="仿宋_GB2312"/>
          <w:b/>
          <w:sz w:val="30"/>
          <w:szCs w:val="30"/>
        </w:rPr>
      </w:pPr>
      <w:r>
        <w:rPr>
          <w:rFonts w:hint="eastAsia" w:ascii="仿宋_GB2312" w:eastAsia="仿宋_GB2312"/>
          <w:b/>
          <w:sz w:val="30"/>
          <w:szCs w:val="30"/>
        </w:rPr>
        <w:t>9、间接经济补偿金</w:t>
      </w:r>
    </w:p>
    <w:p>
      <w:pPr>
        <w:shd w:val="clear" w:color="auto" w:fill="FFFFFF"/>
        <w:ind w:firstLine="600" w:firstLineChars="200"/>
        <w:rPr>
          <w:rFonts w:hint="eastAsia" w:ascii="仿宋_GB2312" w:eastAsia="仿宋_GB2312"/>
          <w:sz w:val="30"/>
          <w:szCs w:val="30"/>
        </w:rPr>
      </w:pPr>
      <w:r>
        <w:rPr>
          <w:rFonts w:hint="eastAsia" w:ascii="仿宋_GB2312" w:eastAsia="仿宋_GB2312"/>
          <w:sz w:val="30"/>
          <w:szCs w:val="30"/>
        </w:rPr>
        <w:t>按照《劳动合同法》第四十四条第一项和第四十七条有关规定，以保安员基本工资标准，辞退保安员年限为一年，以平均补偿1个月的工资计算。（法律规定最低水平）</w:t>
      </w:r>
    </w:p>
    <w:p>
      <w:pPr>
        <w:shd w:val="clear" w:color="auto" w:fill="FFFFFF"/>
        <w:ind w:firstLine="602" w:firstLineChars="200"/>
        <w:rPr>
          <w:rFonts w:hint="eastAsia" w:ascii="仿宋_GB2312" w:eastAsia="仿宋_GB2312"/>
          <w:b/>
          <w:sz w:val="30"/>
          <w:szCs w:val="30"/>
        </w:rPr>
      </w:pPr>
      <w:r>
        <w:rPr>
          <w:rFonts w:hint="eastAsia" w:ascii="仿宋_GB2312" w:eastAsia="仿宋_GB2312"/>
          <w:b/>
          <w:sz w:val="30"/>
          <w:szCs w:val="30"/>
        </w:rPr>
        <w:t>10、工资总额</w:t>
      </w:r>
    </w:p>
    <w:p>
      <w:pPr>
        <w:shd w:val="clear" w:color="auto" w:fill="FFFFFF"/>
        <w:ind w:firstLine="600" w:firstLineChars="200"/>
        <w:rPr>
          <w:rFonts w:hint="eastAsia" w:ascii="仿宋_GB2312" w:eastAsia="仿宋_GB2312"/>
          <w:sz w:val="30"/>
          <w:szCs w:val="30"/>
        </w:rPr>
      </w:pPr>
      <w:r>
        <w:rPr>
          <w:rFonts w:hint="eastAsia" w:ascii="仿宋_GB2312" w:eastAsia="仿宋_GB2312"/>
          <w:sz w:val="30"/>
          <w:szCs w:val="30"/>
        </w:rPr>
        <w:t>工资总额包括基本工资，津贴和补贴（带薪年休假补贴和高温作业补贴费）、加班加点（</w:t>
      </w:r>
      <w:r>
        <w:rPr>
          <w:rFonts w:hint="eastAsia" w:ascii="仿宋_GB2312" w:eastAsia="仿宋_GB2312"/>
          <w:bCs/>
          <w:iCs/>
          <w:kern w:val="0"/>
          <w:sz w:val="30"/>
          <w:szCs w:val="30"/>
        </w:rPr>
        <w:t>本</w:t>
      </w:r>
      <w:r>
        <w:rPr>
          <w:rFonts w:hint="eastAsia" w:ascii="仿宋_GB2312" w:eastAsia="仿宋_GB2312"/>
          <w:bCs/>
          <w:iCs/>
          <w:kern w:val="0"/>
          <w:sz w:val="30"/>
          <w:szCs w:val="30"/>
          <w:lang w:eastAsia="zh-CN"/>
        </w:rPr>
        <w:t>测算价</w:t>
      </w:r>
      <w:r>
        <w:rPr>
          <w:rFonts w:hint="eastAsia" w:ascii="仿宋_GB2312" w:eastAsia="仿宋_GB2312"/>
          <w:bCs/>
          <w:iCs/>
          <w:kern w:val="0"/>
          <w:sz w:val="30"/>
          <w:szCs w:val="30"/>
        </w:rPr>
        <w:t>表以</w:t>
      </w:r>
      <w:r>
        <w:rPr>
          <w:rFonts w:hint="eastAsia" w:ascii="仿宋_GB2312" w:eastAsia="仿宋_GB2312"/>
          <w:sz w:val="30"/>
          <w:szCs w:val="30"/>
        </w:rPr>
        <w:t>法定节假日加班费为主）工资等。</w:t>
      </w:r>
    </w:p>
    <w:p>
      <w:pPr>
        <w:shd w:val="clear" w:color="auto" w:fill="FFFFFF"/>
        <w:ind w:firstLine="602" w:firstLineChars="200"/>
        <w:rPr>
          <w:rFonts w:hint="eastAsia" w:ascii="仿宋_GB2312" w:eastAsia="仿宋_GB2312"/>
          <w:b/>
          <w:sz w:val="30"/>
          <w:szCs w:val="30"/>
        </w:rPr>
      </w:pPr>
      <w:r>
        <w:rPr>
          <w:rFonts w:hint="eastAsia" w:ascii="仿宋_GB2312" w:eastAsia="仿宋_GB2312"/>
          <w:b/>
          <w:sz w:val="30"/>
          <w:szCs w:val="30"/>
        </w:rPr>
        <w:t>11、公司费用</w:t>
      </w:r>
    </w:p>
    <w:p>
      <w:pPr>
        <w:ind w:firstLine="600" w:firstLineChars="200"/>
        <w:rPr>
          <w:rFonts w:hint="eastAsia" w:ascii="仿宋_GB2312" w:eastAsia="仿宋_GB2312"/>
          <w:sz w:val="30"/>
          <w:szCs w:val="30"/>
        </w:rPr>
      </w:pPr>
      <w:r>
        <w:rPr>
          <w:rFonts w:hint="eastAsia" w:ascii="仿宋_GB2312" w:eastAsia="仿宋_GB2312"/>
          <w:sz w:val="30"/>
          <w:szCs w:val="30"/>
        </w:rPr>
        <w:t>按单人人工成本的8%预计计算。</w:t>
      </w:r>
    </w:p>
    <w:p>
      <w:pPr>
        <w:ind w:firstLine="602" w:firstLineChars="200"/>
        <w:rPr>
          <w:rFonts w:hint="eastAsia" w:ascii="仿宋_GB2312" w:eastAsia="仿宋_GB2312"/>
          <w:b/>
          <w:sz w:val="30"/>
          <w:szCs w:val="30"/>
        </w:rPr>
      </w:pPr>
      <w:r>
        <w:rPr>
          <w:rFonts w:hint="eastAsia" w:ascii="仿宋_GB2312" w:eastAsia="仿宋_GB2312"/>
          <w:b/>
          <w:sz w:val="30"/>
          <w:szCs w:val="30"/>
        </w:rPr>
        <w:t>12、税项</w:t>
      </w:r>
    </w:p>
    <w:p>
      <w:pPr>
        <w:ind w:firstLine="600" w:firstLineChars="200"/>
        <w:rPr>
          <w:rFonts w:hint="eastAsia" w:ascii="仿宋_GB2312" w:eastAsia="仿宋_GB2312"/>
          <w:sz w:val="30"/>
          <w:szCs w:val="30"/>
        </w:rPr>
      </w:pPr>
      <w:r>
        <w:rPr>
          <w:rFonts w:hint="eastAsia" w:ascii="仿宋_GB2312" w:eastAsia="仿宋_GB2312"/>
          <w:sz w:val="30"/>
          <w:szCs w:val="30"/>
        </w:rPr>
        <w:t>主要税种及税率</w:t>
      </w:r>
    </w:p>
    <w:tbl>
      <w:tblPr>
        <w:tblStyle w:val="6"/>
        <w:tblW w:w="0" w:type="auto"/>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0"/>
        <w:gridCol w:w="3318"/>
        <w:gridCol w:w="247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60" w:type="dxa"/>
            <w:tcBorders>
              <w:top w:val="single" w:color="auto" w:sz="8" w:space="0"/>
              <w:bottom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税  种</w:t>
            </w:r>
          </w:p>
        </w:tc>
        <w:tc>
          <w:tcPr>
            <w:tcW w:w="3318" w:type="dxa"/>
            <w:tcBorders>
              <w:top w:val="single" w:color="auto" w:sz="8" w:space="0"/>
              <w:bottom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计税依据</w:t>
            </w:r>
          </w:p>
        </w:tc>
        <w:tc>
          <w:tcPr>
            <w:tcW w:w="2474" w:type="dxa"/>
            <w:tcBorders>
              <w:top w:val="single" w:color="auto" w:sz="8" w:space="0"/>
              <w:bottom w:val="single" w:color="auto" w:sz="4" w:space="0"/>
            </w:tcBorders>
            <w:noWrap w:val="0"/>
            <w:vAlign w:val="center"/>
          </w:tcPr>
          <w:p>
            <w:pPr>
              <w:tabs>
                <w:tab w:val="left" w:pos="-3605"/>
              </w:tabs>
              <w:ind w:firstLine="750" w:firstLineChars="250"/>
              <w:rPr>
                <w:rFonts w:hint="eastAsia" w:ascii="仿宋_GB2312" w:eastAsia="仿宋_GB2312"/>
                <w:sz w:val="30"/>
                <w:szCs w:val="30"/>
              </w:rPr>
            </w:pPr>
            <w:r>
              <w:rPr>
                <w:rFonts w:hint="eastAsia" w:ascii="仿宋_GB2312" w:eastAsia="仿宋_GB2312"/>
                <w:sz w:val="30"/>
                <w:szCs w:val="30"/>
              </w:rPr>
              <w:t>税率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60" w:type="dxa"/>
            <w:tcBorders>
              <w:top w:val="single" w:color="auto" w:sz="4" w:space="0"/>
              <w:bottom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增值税</w:t>
            </w:r>
          </w:p>
        </w:tc>
        <w:tc>
          <w:tcPr>
            <w:tcW w:w="3318" w:type="dxa"/>
            <w:tcBorders>
              <w:top w:val="single" w:color="auto" w:sz="4" w:space="0"/>
              <w:bottom w:val="single" w:color="auto" w:sz="4" w:space="0"/>
            </w:tcBorders>
            <w:noWrap w:val="0"/>
            <w:vAlign w:val="center"/>
          </w:tcPr>
          <w:p>
            <w:pPr>
              <w:tabs>
                <w:tab w:val="left" w:pos="-3605"/>
              </w:tabs>
              <w:ind w:firstLine="1344" w:firstLineChars="448"/>
              <w:rPr>
                <w:rFonts w:hint="eastAsia" w:ascii="仿宋_GB2312" w:eastAsia="仿宋_GB2312"/>
                <w:sz w:val="30"/>
                <w:szCs w:val="30"/>
              </w:rPr>
            </w:pPr>
            <w:r>
              <w:rPr>
                <w:rFonts w:hint="eastAsia" w:ascii="仿宋_GB2312" w:eastAsia="仿宋_GB2312"/>
                <w:sz w:val="30"/>
                <w:szCs w:val="30"/>
              </w:rPr>
              <w:t>应税收入</w:t>
            </w:r>
          </w:p>
        </w:tc>
        <w:tc>
          <w:tcPr>
            <w:tcW w:w="2474" w:type="dxa"/>
            <w:tcBorders>
              <w:top w:val="single" w:color="auto" w:sz="4" w:space="0"/>
              <w:bottom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160" w:type="dxa"/>
            <w:tcBorders>
              <w:top w:val="single" w:color="auto" w:sz="4" w:space="0"/>
              <w:bottom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城市维护建设税</w:t>
            </w:r>
          </w:p>
        </w:tc>
        <w:tc>
          <w:tcPr>
            <w:tcW w:w="3318" w:type="dxa"/>
            <w:tcBorders>
              <w:top w:val="single" w:color="auto" w:sz="4" w:space="0"/>
              <w:bottom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应纳流转税额</w:t>
            </w:r>
          </w:p>
        </w:tc>
        <w:tc>
          <w:tcPr>
            <w:tcW w:w="2474" w:type="dxa"/>
            <w:tcBorders>
              <w:top w:val="single" w:color="auto" w:sz="4" w:space="0"/>
              <w:bottom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60" w:type="dxa"/>
            <w:tcBorders>
              <w:top w:val="single" w:color="auto" w:sz="4" w:space="0"/>
              <w:bottom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教育费附加</w:t>
            </w:r>
          </w:p>
        </w:tc>
        <w:tc>
          <w:tcPr>
            <w:tcW w:w="3318" w:type="dxa"/>
            <w:tcBorders>
              <w:top w:val="single" w:color="auto" w:sz="4" w:space="0"/>
              <w:bottom w:val="single" w:color="auto" w:sz="4" w:space="0"/>
            </w:tcBorders>
            <w:noWrap w:val="0"/>
            <w:vAlign w:val="center"/>
          </w:tcPr>
          <w:p>
            <w:pPr>
              <w:tabs>
                <w:tab w:val="left" w:pos="-3605"/>
              </w:tabs>
              <w:ind w:firstLine="600" w:firstLineChars="200"/>
              <w:rPr>
                <w:rFonts w:hint="eastAsia" w:ascii="仿宋_GB2312" w:eastAsia="仿宋_GB2312"/>
                <w:sz w:val="30"/>
                <w:szCs w:val="30"/>
              </w:rPr>
            </w:pPr>
            <w:bookmarkStart w:id="3" w:name="OLE_LINK7"/>
            <w:bookmarkStart w:id="4" w:name="OLE_LINK8"/>
            <w:r>
              <w:rPr>
                <w:rFonts w:hint="eastAsia" w:ascii="仿宋_GB2312" w:eastAsia="仿宋_GB2312"/>
                <w:sz w:val="30"/>
                <w:szCs w:val="30"/>
              </w:rPr>
              <w:t>应纳流转税额</w:t>
            </w:r>
            <w:bookmarkEnd w:id="3"/>
            <w:bookmarkEnd w:id="4"/>
          </w:p>
        </w:tc>
        <w:tc>
          <w:tcPr>
            <w:tcW w:w="2474" w:type="dxa"/>
            <w:tcBorders>
              <w:top w:val="single" w:color="auto" w:sz="4" w:space="0"/>
              <w:bottom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0" w:type="dxa"/>
            <w:tcBorders>
              <w:top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地方教育费附加</w:t>
            </w:r>
          </w:p>
        </w:tc>
        <w:tc>
          <w:tcPr>
            <w:tcW w:w="3318" w:type="dxa"/>
            <w:tcBorders>
              <w:top w:val="single" w:color="auto" w:sz="4" w:space="0"/>
            </w:tcBorders>
            <w:noWrap w:val="0"/>
            <w:vAlign w:val="center"/>
          </w:tcPr>
          <w:p>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应纳流转税额</w:t>
            </w:r>
          </w:p>
        </w:tc>
        <w:tc>
          <w:tcPr>
            <w:tcW w:w="2474" w:type="dxa"/>
            <w:tcBorders>
              <w:top w:val="single" w:color="auto" w:sz="4" w:space="0"/>
            </w:tcBorders>
            <w:noWrap w:val="0"/>
            <w:vAlign w:val="center"/>
          </w:tcPr>
          <w:p>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2%</w:t>
            </w:r>
          </w:p>
        </w:tc>
      </w:tr>
    </w:tbl>
    <w:p>
      <w:pPr>
        <w:ind w:firstLine="600" w:firstLineChars="200"/>
        <w:rPr>
          <w:rFonts w:hint="eastAsia" w:ascii="仿宋_GB2312" w:eastAsia="仿宋_GB2312"/>
          <w:sz w:val="30"/>
          <w:szCs w:val="30"/>
        </w:rPr>
      </w:pPr>
      <w:r>
        <w:rPr>
          <w:rFonts w:hint="eastAsia" w:ascii="仿宋_GB2312" w:eastAsia="仿宋_GB2312"/>
          <w:sz w:val="30"/>
          <w:szCs w:val="30"/>
        </w:rPr>
        <w:t>注：财税</w:t>
      </w:r>
      <w:r>
        <w:rPr>
          <w:rFonts w:hint="eastAsia" w:ascii="仿宋_GB2312" w:eastAsia="仿宋_GB2312"/>
          <w:kern w:val="0"/>
          <w:sz w:val="30"/>
          <w:szCs w:val="30"/>
        </w:rPr>
        <w:t>〔2016〕47号文件，关于销售额和税率问题中规定：一般纳税人提供劳务派遣服务，可以按照《财务部 国家税务总局关于全面推开营业税改征增值税试点的通知》（财税〔2016〕36号）的有关规定，以取得的全部价款和价外费用为销售额，按照一般计税方法计算缴纳增值税；也可以选择差额纳税，以取得的全部价款和价外费用，扣除代用工单位支付给劳务派遣员工的工资、福利和为其办理社会保险及住房公积金后的余额为销售额，按照简易计税方法依5%的征税率计算缴纳增值税。</w:t>
      </w:r>
    </w:p>
    <w:p>
      <w:pPr>
        <w:ind w:firstLine="602" w:firstLineChars="200"/>
        <w:rPr>
          <w:rFonts w:hint="eastAsia" w:ascii="仿宋_GB2312" w:eastAsia="仿宋_GB2312"/>
          <w:b/>
          <w:sz w:val="30"/>
          <w:szCs w:val="30"/>
        </w:rPr>
      </w:pPr>
      <w:r>
        <w:rPr>
          <w:rFonts w:hint="eastAsia" w:ascii="仿宋_GB2312" w:eastAsia="仿宋_GB2312"/>
          <w:b/>
          <w:sz w:val="30"/>
          <w:szCs w:val="30"/>
        </w:rPr>
        <w:t>13、其他</w:t>
      </w:r>
    </w:p>
    <w:p>
      <w:pPr>
        <w:ind w:firstLine="416" w:firstLineChars="139"/>
        <w:jc w:val="left"/>
        <w:rPr>
          <w:rFonts w:hint="eastAsia" w:ascii="仿宋_GB2312" w:eastAsia="仿宋_GB2312"/>
          <w:sz w:val="30"/>
          <w:szCs w:val="30"/>
        </w:rPr>
      </w:pPr>
      <w:r>
        <w:rPr>
          <w:rFonts w:hint="eastAsia" w:ascii="仿宋_GB2312" w:eastAsia="仿宋_GB2312"/>
          <w:sz w:val="30"/>
          <w:szCs w:val="30"/>
        </w:rPr>
        <w:t>（1）本保安服务人力防范最低</w:t>
      </w:r>
      <w:r>
        <w:rPr>
          <w:rFonts w:hint="eastAsia" w:ascii="仿宋_GB2312" w:eastAsia="仿宋_GB2312"/>
          <w:sz w:val="30"/>
          <w:szCs w:val="30"/>
          <w:lang w:eastAsia="zh-CN"/>
        </w:rPr>
        <w:t>成本</w:t>
      </w:r>
      <w:r>
        <w:rPr>
          <w:rFonts w:hint="eastAsia" w:ascii="仿宋_GB2312" w:eastAsia="仿宋_GB2312"/>
          <w:sz w:val="30"/>
          <w:szCs w:val="30"/>
        </w:rPr>
        <w:t>测算</w:t>
      </w:r>
      <w:r>
        <w:rPr>
          <w:rFonts w:hint="eastAsia" w:ascii="仿宋_GB2312" w:eastAsia="仿宋_GB2312"/>
          <w:sz w:val="30"/>
          <w:szCs w:val="30"/>
          <w:lang w:eastAsia="zh-CN"/>
        </w:rPr>
        <w:t>价</w:t>
      </w:r>
      <w:r>
        <w:rPr>
          <w:rFonts w:hint="eastAsia" w:ascii="仿宋_GB2312" w:eastAsia="仿宋_GB2312"/>
          <w:sz w:val="30"/>
          <w:szCs w:val="30"/>
        </w:rPr>
        <w:t>表，是按照每周工作时间为40小时制拟定，并且包含保安员在国家法定节假日从事劳动应得的加班工资及依法应享受的带薪年休假等成本费用。</w:t>
      </w:r>
    </w:p>
    <w:p>
      <w:pPr>
        <w:ind w:firstLine="416" w:firstLineChars="139"/>
        <w:jc w:val="left"/>
        <w:rPr>
          <w:rFonts w:hint="eastAsia" w:ascii="仿宋_GB2312" w:eastAsia="仿宋_GB2312"/>
          <w:sz w:val="30"/>
          <w:szCs w:val="30"/>
        </w:rPr>
      </w:pPr>
      <w:r>
        <w:rPr>
          <w:rFonts w:hint="eastAsia" w:ascii="仿宋_GB2312" w:eastAsia="仿宋_GB2312"/>
          <w:sz w:val="30"/>
          <w:szCs w:val="30"/>
        </w:rPr>
        <w:t>（2）省、市有关部门发布的2020年职工社会保险缴费基数下限和本市人力防范保安服务测算每月单兵费用为最低</w:t>
      </w:r>
      <w:r>
        <w:rPr>
          <w:rFonts w:hint="eastAsia" w:ascii="仿宋_GB2312" w:eastAsia="仿宋_GB2312"/>
          <w:sz w:val="30"/>
          <w:szCs w:val="30"/>
          <w:lang w:eastAsia="zh-CN"/>
        </w:rPr>
        <w:t>成本测算</w:t>
      </w:r>
      <w:r>
        <w:rPr>
          <w:rFonts w:hint="eastAsia" w:ascii="仿宋_GB2312" w:eastAsia="仿宋_GB2312"/>
          <w:sz w:val="30"/>
          <w:szCs w:val="30"/>
        </w:rPr>
        <w:t>价。</w:t>
      </w:r>
    </w:p>
    <w:p>
      <w:pPr>
        <w:ind w:firstLine="416" w:firstLineChars="139"/>
        <w:jc w:val="left"/>
        <w:rPr>
          <w:rFonts w:ascii="仿宋_GB2312" w:eastAsia="仿宋_GB2312"/>
          <w:sz w:val="30"/>
          <w:szCs w:val="30"/>
        </w:rPr>
      </w:pPr>
      <w:r>
        <w:rPr>
          <w:rFonts w:hint="eastAsia" w:ascii="仿宋_GB2312" w:eastAsia="仿宋_GB2312"/>
          <w:sz w:val="30"/>
          <w:szCs w:val="30"/>
        </w:rPr>
        <w:t>（3）根据2017年度《浙江省人民政府关于调整全省最低工资标准的通知》（浙政发【2017】43号），确定保安人员最低工资标准，杭州一类地区（</w:t>
      </w:r>
      <w:r>
        <w:rPr>
          <w:rFonts w:hint="eastAsia" w:ascii="仿宋_GB2312" w:eastAsia="仿宋_GB2312"/>
          <w:bCs/>
          <w:iCs/>
          <w:kern w:val="0"/>
          <w:sz w:val="30"/>
          <w:szCs w:val="30"/>
        </w:rPr>
        <w:t>杭州主城区、萧山区、余杭区和富阳区）2010元/月；杭州二类地区（临安区）1800元/月；杭州三类地区（建德市、桐庐县、淳安县）1660元/月。</w:t>
      </w:r>
    </w:p>
    <w:p>
      <w:pPr>
        <w:ind w:firstLine="416" w:firstLineChars="139"/>
        <w:rPr>
          <w:rFonts w:hint="eastAsia" w:ascii="仿宋_GB2312" w:eastAsia="仿宋_GB2312"/>
          <w:sz w:val="30"/>
          <w:szCs w:val="30"/>
        </w:rPr>
      </w:pPr>
      <w:r>
        <w:rPr>
          <w:rFonts w:hint="eastAsia" w:ascii="仿宋_GB2312" w:eastAsia="仿宋_GB2312"/>
          <w:sz w:val="30"/>
          <w:szCs w:val="30"/>
        </w:rPr>
        <w:t>（4）各保安企业在保安经营活动中，应在最低</w:t>
      </w:r>
      <w:r>
        <w:rPr>
          <w:rFonts w:hint="eastAsia" w:ascii="仿宋_GB2312" w:eastAsia="仿宋_GB2312"/>
          <w:sz w:val="30"/>
          <w:szCs w:val="30"/>
          <w:lang w:eastAsia="zh-CN"/>
        </w:rPr>
        <w:t>成本测算</w:t>
      </w:r>
      <w:r>
        <w:rPr>
          <w:rFonts w:hint="eastAsia" w:ascii="仿宋_GB2312" w:eastAsia="仿宋_GB2312"/>
          <w:sz w:val="30"/>
          <w:szCs w:val="30"/>
        </w:rPr>
        <w:t>价的基础上，根据每个保安服务项目的具体情况与客户单位进行协商。</w:t>
      </w:r>
    </w:p>
    <w:p>
      <w:pPr>
        <w:ind w:firstLine="416" w:firstLineChars="139"/>
        <w:rPr>
          <w:rFonts w:hint="eastAsia" w:ascii="仿宋_GB2312" w:eastAsia="仿宋_GB2312"/>
          <w:sz w:val="30"/>
          <w:szCs w:val="30"/>
        </w:rPr>
      </w:pPr>
      <w:r>
        <w:rPr>
          <w:rFonts w:hint="eastAsia" w:ascii="仿宋_GB2312" w:eastAsia="仿宋_GB2312"/>
          <w:sz w:val="30"/>
          <w:szCs w:val="30"/>
        </w:rPr>
        <w:t>（5）本标准未包含企业应有的经营利润；保安人员的食宿费用支付标准应由保安服务企业根据项目具体情况与客户协商确定。</w:t>
      </w:r>
    </w:p>
    <w:p>
      <w:pPr>
        <w:ind w:firstLine="416" w:firstLineChars="139"/>
        <w:rPr>
          <w:rFonts w:ascii="仿宋_GB2312" w:eastAsia="仿宋_GB2312"/>
          <w:sz w:val="30"/>
          <w:szCs w:val="30"/>
        </w:rPr>
      </w:pPr>
      <w:r>
        <w:rPr>
          <w:rFonts w:hint="eastAsia" w:ascii="仿宋_GB2312" w:eastAsia="仿宋_GB2312"/>
          <w:sz w:val="30"/>
          <w:szCs w:val="30"/>
        </w:rPr>
        <w:t>（6）本标准是杭州市保安服务人力防范最低</w:t>
      </w:r>
      <w:r>
        <w:rPr>
          <w:rFonts w:hint="eastAsia" w:ascii="仿宋_GB2312" w:eastAsia="仿宋_GB2312"/>
          <w:sz w:val="30"/>
          <w:szCs w:val="30"/>
          <w:lang w:eastAsia="zh-CN"/>
        </w:rPr>
        <w:t>成本</w:t>
      </w:r>
      <w:bookmarkStart w:id="5" w:name="_GoBack"/>
      <w:bookmarkEnd w:id="5"/>
      <w:r>
        <w:rPr>
          <w:rFonts w:hint="eastAsia" w:ascii="仿宋_GB2312" w:eastAsia="仿宋_GB2312"/>
          <w:sz w:val="30"/>
          <w:szCs w:val="30"/>
        </w:rPr>
        <w:t>测算</w:t>
      </w:r>
      <w:r>
        <w:rPr>
          <w:rFonts w:hint="eastAsia" w:ascii="仿宋_GB2312" w:eastAsia="仿宋_GB2312"/>
          <w:sz w:val="30"/>
          <w:szCs w:val="30"/>
          <w:lang w:eastAsia="zh-CN"/>
        </w:rPr>
        <w:t>价</w:t>
      </w:r>
      <w:r>
        <w:rPr>
          <w:rFonts w:hint="eastAsia" w:ascii="仿宋_GB2312" w:eastAsia="仿宋_GB2312"/>
          <w:sz w:val="30"/>
          <w:szCs w:val="30"/>
        </w:rPr>
        <w:t>。涉及高风险、高标准、高要求的人力防范岗位时，保安服务企业应在此基础上根据服务内容、风险、责任、工作时间、工作强度等与客户单位协商确定。</w:t>
      </w:r>
    </w:p>
    <w:p>
      <w:pPr>
        <w:ind w:firstLine="450" w:firstLineChars="150"/>
        <w:jc w:val="left"/>
        <w:rPr>
          <w:rFonts w:hint="eastAsia" w:ascii="仿宋_GB2312" w:eastAsia="仿宋_GB2312"/>
          <w:sz w:val="30"/>
          <w:szCs w:val="30"/>
        </w:rPr>
      </w:pPr>
      <w:r>
        <w:rPr>
          <w:rFonts w:hint="eastAsia" w:ascii="仿宋_GB2312" w:eastAsia="仿宋_GB2312"/>
          <w:sz w:val="30"/>
          <w:szCs w:val="30"/>
        </w:rPr>
        <w:t>（7）本标准实施期间遇国家和本市的法规政策，特别是税收、社会保险、劳动工资、休息休假制度等直接影响经营成本的法规政策有重大变化时，本标准应及时调整。保安服务企业也可根据经营成本变化情况与客户协商调整保安服务费标准。</w:t>
      </w:r>
    </w:p>
    <w:p>
      <w:pPr>
        <w:ind w:firstLine="450" w:firstLineChars="150"/>
        <w:jc w:val="left"/>
        <w:rPr>
          <w:rFonts w:ascii="仿宋_GB2312" w:eastAsia="仿宋_GB2312"/>
          <w:sz w:val="30"/>
          <w:szCs w:val="30"/>
        </w:rPr>
      </w:pPr>
      <w:r>
        <w:rPr>
          <w:rFonts w:hint="eastAsia" w:ascii="仿宋_GB2312" w:eastAsia="仿宋_GB2312"/>
          <w:sz w:val="30"/>
          <w:szCs w:val="30"/>
        </w:rPr>
        <w:t>（8）跨县（市、区）经营的保安企业参考服务地收费参考价及保安员工资参考价标准。</w:t>
      </w:r>
    </w:p>
    <w:p/>
    <w:sectPr>
      <w:pgSz w:w="11906" w:h="16838"/>
      <w:pgMar w:top="1440" w:right="1446" w:bottom="1440"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936CE"/>
    <w:rsid w:val="33494625"/>
    <w:rsid w:val="3C6642B1"/>
    <w:rsid w:val="72A67488"/>
    <w:rsid w:val="761D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9"/>
    <w:pPr>
      <w:keepNext/>
      <w:autoSpaceDE w:val="0"/>
      <w:autoSpaceDN w:val="0"/>
      <w:spacing w:before="120" w:beforeLines="0" w:line="360" w:lineRule="auto"/>
      <w:ind w:right="75"/>
      <w:jc w:val="center"/>
      <w:outlineLvl w:val="2"/>
    </w:pPr>
    <w:rPr>
      <w:rFonts w:ascii="宋体"/>
      <w:color w:val="000000"/>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2020-09-07T01:29:00Z</dcterms:created>
  <dc:creator>lenovo</dc:creator>
  <cp:lastModifiedBy>lenovo</cp:lastModifiedBy>
  <dcterms:modified xsi:type="dcterms:W3CDTF">2020-09-07T04:11:45Z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